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</w:t>
      </w:r>
    </w:p>
    <w:p>
      <w:pPr>
        <w:spacing w:before="0" w:after="0" w:line="240" w:lineRule="atLeast"/>
        <w:jc w:val="center"/>
      </w:pPr>
      <w:r>
        <w:rPr>
          <w:rFonts w:ascii="Times New Roman" w:eastAsia="Times New Roman" w:hAnsi="Times New Roman" w:cs="Times New Roman"/>
          <w:sz w:val="26"/>
          <w:szCs w:val="26"/>
        </w:rPr>
        <w:t>о назначении административного наказания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Style w:val="cat-Addressgrp-0rplc-0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</w:t>
      </w:r>
      <w:r>
        <w:rPr>
          <w:rStyle w:val="cat-Dategrp-7rplc-1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708"/>
        <w:jc w:val="both"/>
        <w:rPr>
          <w:sz w:val="26"/>
          <w:szCs w:val="26"/>
        </w:rPr>
      </w:pP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 2 Ханты-Мансийского судебного района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Style w:val="cat-Addressgrp-1rplc-2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FIOgrp-13rplc-3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>, исполняя обязанности мирового судьи судебного участка №5 Ханты-Мансийского судебного района,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рассмотрев в открытом судебном заседании дело об админ</w:t>
      </w:r>
      <w:r>
        <w:rPr>
          <w:rFonts w:ascii="Times New Roman" w:eastAsia="Times New Roman" w:hAnsi="Times New Roman" w:cs="Times New Roman"/>
          <w:sz w:val="26"/>
          <w:szCs w:val="26"/>
        </w:rPr>
        <w:t>истративном правонарушении № 5-9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23-2805/2026, возбужденное по ч.2 ст.8.37 Кодекса Российской Федерации об административных правонарушениях в отношении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Вторушина </w:t>
      </w:r>
      <w:r>
        <w:rPr>
          <w:rStyle w:val="cat-UserDefinedgrp-26rplc-5"/>
          <w:rFonts w:ascii="Times New Roman" w:eastAsia="Times New Roman" w:hAnsi="Times New Roman" w:cs="Times New Roman"/>
          <w:b/>
          <w:bCs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, </w:t>
      </w:r>
      <w:r>
        <w:rPr>
          <w:rStyle w:val="cat-ExternalSystemDefinedgrp-23rplc-6"/>
          <w:rFonts w:ascii="Times New Roman" w:eastAsia="Times New Roman" w:hAnsi="Times New Roman" w:cs="Times New Roman"/>
          <w:b/>
          <w:bCs/>
          <w:sz w:val="26"/>
          <w:szCs w:val="26"/>
        </w:rPr>
        <w:t>...</w:t>
      </w:r>
      <w:r>
        <w:rPr>
          <w:rStyle w:val="cat-PassportDatagrp-20rplc-7"/>
          <w:rFonts w:ascii="Times New Roman" w:eastAsia="Times New Roman" w:hAnsi="Times New Roman" w:cs="Times New Roman"/>
          <w:b/>
          <w:bCs/>
          <w:sz w:val="26"/>
          <w:szCs w:val="26"/>
        </w:rPr>
        <w:t>паспортные данные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проживающего по адресу: ХМАО – </w:t>
      </w:r>
      <w:r>
        <w:rPr>
          <w:rStyle w:val="cat-Addressgrp-2rplc-8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Style w:val="cat-PassportDatagrp-21rplc-9"/>
          <w:rFonts w:ascii="Times New Roman" w:eastAsia="Times New Roman" w:hAnsi="Times New Roman" w:cs="Times New Roman"/>
          <w:sz w:val="26"/>
          <w:szCs w:val="26"/>
        </w:rPr>
        <w:t>паспортные данные</w:t>
      </w:r>
      <w:r>
        <w:rPr>
          <w:rStyle w:val="cat-ExternalSystemDefinedgrp-25rplc-10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ExternalSystemDefinedgrp-24rplc-11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сведений о привлечении к административной ответственности не имеется, 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УСТАНОВИЛ: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>
        <w:rPr>
          <w:rStyle w:val="cat-Dategrp-8rplc-12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</w:t>
      </w:r>
      <w:r>
        <w:rPr>
          <w:rStyle w:val="cat-Timegrp-22rplc-13"/>
          <w:rFonts w:ascii="Times New Roman" w:eastAsia="Times New Roman" w:hAnsi="Times New Roman" w:cs="Times New Roman"/>
          <w:sz w:val="26"/>
          <w:szCs w:val="26"/>
        </w:rPr>
        <w:t>время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находясь на </w:t>
      </w:r>
      <w:r>
        <w:rPr>
          <w:rStyle w:val="cat-Sumgrp-18rplc-14"/>
          <w:rFonts w:ascii="Times New Roman" w:eastAsia="Times New Roman" w:hAnsi="Times New Roman" w:cs="Times New Roman"/>
          <w:sz w:val="26"/>
          <w:szCs w:val="26"/>
        </w:rPr>
        <w:t>сумма</w:t>
      </w:r>
      <w:r>
        <w:rPr>
          <w:rFonts w:ascii="Times New Roman" w:eastAsia="Times New Roman" w:hAnsi="Times New Roman" w:cs="Times New Roman"/>
          <w:sz w:val="26"/>
          <w:szCs w:val="26"/>
        </w:rPr>
        <w:t>Иртыш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вблизи в </w:t>
      </w:r>
      <w:r>
        <w:rPr>
          <w:rStyle w:val="cat-Addressgrp-3rplc-15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Вторушин </w:t>
      </w:r>
      <w:r>
        <w:rPr>
          <w:rStyle w:val="cat-UserDefinedgrp-27rplc-17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., осуществлял вылов водных биологических ресурсов принадлежащего ему запрещенным орудием лова, а именно сеть плавная лесковая 200 м ячея 60 мм 1 шт. В результате указанных действий Вторушин </w:t>
      </w:r>
      <w:r>
        <w:rPr>
          <w:rStyle w:val="cat-UserDefinedgrp-28rplc-19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нарушил 35.1.1, 35.1.3, 35.2, 35.1.2 Правил рыболовства для </w:t>
      </w:r>
      <w:r>
        <w:rPr>
          <w:rFonts w:ascii="Times New Roman" w:eastAsia="Times New Roman" w:hAnsi="Times New Roman" w:cs="Times New Roman"/>
          <w:sz w:val="26"/>
          <w:szCs w:val="26"/>
        </w:rPr>
        <w:t>Западно-Сибирского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рыбохозяйственного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бассейна, утвержденных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Приказом Министерства сельского хозяйства РФ от </w:t>
      </w:r>
      <w:r>
        <w:rPr>
          <w:rStyle w:val="cat-Dategrp-9rplc-20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N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646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судебное заседание Вторушин </w:t>
      </w:r>
      <w:r>
        <w:rPr>
          <w:rStyle w:val="cat-UserDefinedgrp-28rplc-22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не явился, о месте и времени рассмотрения дела извещен надлежащим образом, СМС-извещением. Ходатайство об отложении рассмотрения дела от него не поступило; уважительная причина его неявки судом не установлена. Предоставленной ему возможностью реализовать свое право на судебную защиту как лично, так и через своего представителя, будучи извещенным о судебном </w:t>
      </w:r>
      <w:r>
        <w:rPr>
          <w:rFonts w:ascii="Times New Roman" w:eastAsia="Times New Roman" w:hAnsi="Times New Roman" w:cs="Times New Roman"/>
          <w:sz w:val="26"/>
          <w:szCs w:val="26"/>
        </w:rPr>
        <w:t>заседании,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не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воспользовался.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частью 2 ст.25.1 КоАП РФ дело может быть рассмотрено в отсутствие лица, в отношении которого ведется производство по делу, если имеются данные о надлежащем извещении </w:t>
      </w:r>
      <w:r>
        <w:rPr>
          <w:rFonts w:ascii="Times New Roman" w:eastAsia="Times New Roman" w:hAnsi="Times New Roman" w:cs="Times New Roman"/>
          <w:sz w:val="26"/>
          <w:szCs w:val="26"/>
        </w:rPr>
        <w:t>лица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месте и времени рассмотрении дела и если от лица не поступило ходатайство об отложении рассмотрения дела либо если такое ходатайство оставлено без удовлетворения.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Изучив письменные материалы дела, мировой судья установил следующее.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Частью 2 статьи 8.37 КоАП РФ предусмотрена административная ответственность за нарушение правил, регламентирующих рыболовство, за исключением случаев, предусмотренных частью 2 статьи 8.17 настоящего Кодекса.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силу ст.52 Федерального закона от </w:t>
      </w:r>
      <w:r>
        <w:rPr>
          <w:rStyle w:val="cat-Dategrp-10rplc-23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№166-ФЗ «О рыболовстве и сохранении водных биологических ресурсов», лица, совершившие правонарушения в области рыболовства и сохранения водных биоресурсов, несут ответственность в соответствии с законодательством Российской Федерации.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Согласно п. 4-5 ч.1 ст.26 Федерального закона «О рыболовстве и сохранении водных биологических ресурсов», в целях обеспечения сохранения водных биоресурсов и их рационального использования могут устанавливаться ограничения рыболовства в отношении вида и количества разрешаемых орудий и способов </w:t>
      </w:r>
      <w:r>
        <w:rPr>
          <w:rFonts w:ascii="Times New Roman" w:eastAsia="Times New Roman" w:hAnsi="Times New Roman" w:cs="Times New Roman"/>
          <w:sz w:val="26"/>
          <w:szCs w:val="26"/>
        </w:rPr>
        <w:t>добычи (вылова) водных биоресурсов; размера ячеи орудий добычи (вылова) водных биоресурсов, размера и конструкции орудий добычи (вылова) водных биоресурсов.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разъяснениями, содержащимися в п.6 Постановления Пленума Верховного Суда РФ от </w:t>
      </w:r>
      <w:r>
        <w:rPr>
          <w:rStyle w:val="cat-Dategrp-11rplc-24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№27 «О практике рассмотрения дел об административных правонарушениях, связанных с нарушением правил добычи (вылова) водных биологических ресурсов и иных правил, регламентирующих осуществление промышленного, прибрежного и других видов рыболовства», к нарушениям правил осуществления рыболовства относятся, в частности, несоблюдение установленных запретов (например, в отношении периода, орудий, способов лова, мест добычи (вылова) при осуществлении любительского и спортивного рыболовства).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силу ст.43.1 Федерального закона №166-ФЗ основой осуществления рыболовства и сохранения водных биоресурсов являются правила рыболовства.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Согласно п.35.1.1. Правил рыболовства запрещается добыча (вылов) водных биоресурсов любыми орудиями добычи (вылова), за исключением: на водных объектах </w:t>
      </w:r>
      <w:r>
        <w:rPr>
          <w:rFonts w:ascii="Times New Roman" w:eastAsia="Times New Roman" w:hAnsi="Times New Roman" w:cs="Times New Roman"/>
          <w:sz w:val="26"/>
          <w:szCs w:val="26"/>
        </w:rPr>
        <w:t>рыбохозяйственного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значения общего пользования, а также за пределами рыбопромысловых участков, предоставленных для организации любительского и спортивного рыболовства: летними и зимними удочками всех модификаций с общим количеством крючков (одинарных, двойников или тройников - далее крючков), в том числе крючков на блеснах не более 10 штук на орудиях добычи (вылова) у одного гражданина; спиннингами, фидером, «корабликами», «змеями», </w:t>
      </w:r>
      <w:r>
        <w:rPr>
          <w:rFonts w:ascii="Times New Roman" w:eastAsia="Times New Roman" w:hAnsi="Times New Roman" w:cs="Times New Roman"/>
          <w:sz w:val="26"/>
          <w:szCs w:val="26"/>
        </w:rPr>
        <w:t>нахлыстовыми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удочками с использованием блесен, </w:t>
      </w:r>
      <w:r>
        <w:rPr>
          <w:rFonts w:ascii="Times New Roman" w:eastAsia="Times New Roman" w:hAnsi="Times New Roman" w:cs="Times New Roman"/>
          <w:sz w:val="26"/>
          <w:szCs w:val="26"/>
        </w:rPr>
        <w:t>воблеров</w:t>
      </w:r>
      <w:r>
        <w:rPr>
          <w:rFonts w:ascii="Times New Roman" w:eastAsia="Times New Roman" w:hAnsi="Times New Roman" w:cs="Times New Roman"/>
          <w:sz w:val="26"/>
          <w:szCs w:val="26"/>
        </w:rPr>
        <w:t>, мушек и других приманок; жерлицами и кружками общим количеством не более 10 штук у одного гражданина; закидными удочками («</w:t>
      </w:r>
      <w:r>
        <w:rPr>
          <w:rFonts w:ascii="Times New Roman" w:eastAsia="Times New Roman" w:hAnsi="Times New Roman" w:cs="Times New Roman"/>
          <w:sz w:val="26"/>
          <w:szCs w:val="26"/>
        </w:rPr>
        <w:t>закидушками</w:t>
      </w:r>
      <w:r>
        <w:rPr>
          <w:rFonts w:ascii="Times New Roman" w:eastAsia="Times New Roman" w:hAnsi="Times New Roman" w:cs="Times New Roman"/>
          <w:sz w:val="26"/>
          <w:szCs w:val="26"/>
        </w:rPr>
        <w:t>»), в том числе с использованием резиновых амортизаторов, и переметами с общим количеством крючков не более 10 штук на орудиях добычи (вылова) у одного гражданина; на дорожку (</w:t>
      </w:r>
      <w:r>
        <w:rPr>
          <w:rFonts w:ascii="Times New Roman" w:eastAsia="Times New Roman" w:hAnsi="Times New Roman" w:cs="Times New Roman"/>
          <w:sz w:val="26"/>
          <w:szCs w:val="26"/>
        </w:rPr>
        <w:t>троллингом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);специальными пневматическими ружьями и пистолетами для подводной охоты без использования аквалангов и других автономных дыхательных аппаратов; мелкоячеистыми бреднями (для добычи (вылова) живца) длиной не более 3 м, с размером (шагом) ячеи не более 15 мм; </w:t>
      </w:r>
      <w:r>
        <w:rPr>
          <w:rFonts w:ascii="Times New Roman" w:eastAsia="Times New Roman" w:hAnsi="Times New Roman" w:cs="Times New Roman"/>
          <w:sz w:val="26"/>
          <w:szCs w:val="26"/>
        </w:rPr>
        <w:t>раколовками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количестве не более 5 штук у одного гражданина, с диаметром каждой </w:t>
      </w:r>
      <w:r>
        <w:rPr>
          <w:rFonts w:ascii="Times New Roman" w:eastAsia="Times New Roman" w:hAnsi="Times New Roman" w:cs="Times New Roman"/>
          <w:sz w:val="26"/>
          <w:szCs w:val="26"/>
        </w:rPr>
        <w:t>раколовки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не более 80 см.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соответствии со статьей 35.2 Правил рыболовства при любительском и спортивном рыболовстве запрещается применение сетных орудий добычи (вылова) из лески (</w:t>
      </w:r>
      <w:r>
        <w:rPr>
          <w:rFonts w:ascii="Times New Roman" w:eastAsia="Times New Roman" w:hAnsi="Times New Roman" w:cs="Times New Roman"/>
          <w:sz w:val="26"/>
          <w:szCs w:val="26"/>
        </w:rPr>
        <w:t>мононити</w:t>
      </w:r>
      <w:r>
        <w:rPr>
          <w:rFonts w:ascii="Times New Roman" w:eastAsia="Times New Roman" w:hAnsi="Times New Roman" w:cs="Times New Roman"/>
          <w:sz w:val="26"/>
          <w:szCs w:val="26"/>
        </w:rPr>
        <w:t>).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Вина Вторушина </w:t>
      </w:r>
      <w:r>
        <w:rPr>
          <w:rStyle w:val="cat-UserDefinedgrp-27rplc-26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. в совершении правонарушения подтверждается также следующими доказательствами: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протоколом, с которым ознакомлен.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протоколом изъятия;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план-схемой;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</w:rPr>
        <w:t>фототаблицей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Указанные доказательства мировой судья считает относимыми и допустимыми, так как они составлены уполномоченными на то лицами, надлежащим образом оформлены, получены с соблюдением требований КоАП РФ, полностью согласуются между собой, и нашли объективное подтверждение в ходе судебного разбирательства.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Вина </w:t>
      </w:r>
      <w:r>
        <w:rPr>
          <w:rStyle w:val="cat-FIOgrp-16rplc-27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 его действия по факту нарушения правил добычи (вылова) водных биологических ресурсов и иных правил, регламентирующих осуществление промышленного рыболовства, прибрежного рыболовства и других видов рыболовства, нашли свое подтверждение.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Действия мировой судья квалифицирует по ч.2 ст.8.37 Кодекса Российской Федерации об административных правонарушениях.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Определяя вид и меру наказания нарушителю, суд учитывает его </w:t>
      </w:r>
      <w:r>
        <w:rPr>
          <w:rFonts w:ascii="Times New Roman" w:eastAsia="Times New Roman" w:hAnsi="Times New Roman" w:cs="Times New Roman"/>
          <w:sz w:val="26"/>
          <w:szCs w:val="26"/>
        </w:rPr>
        <w:t>личность,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характер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 тяжесть совершенного им правонарушения.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Смягчающих и отягчающих административную </w:t>
      </w:r>
      <w:r>
        <w:rPr>
          <w:rFonts w:ascii="Times New Roman" w:eastAsia="Times New Roman" w:hAnsi="Times New Roman" w:cs="Times New Roman"/>
          <w:sz w:val="26"/>
          <w:szCs w:val="26"/>
        </w:rPr>
        <w:t>ответственность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обстоятельств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мировым судьей не установлено.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п.11 Постановления Пленума Верховного суда РФ от </w:t>
      </w:r>
      <w:r>
        <w:rPr>
          <w:rStyle w:val="cat-Dategrp-12rplc-28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№27 «О практике рассмотрения дел об административных правонарушениях, связанных нарушением правил добычи (вылова) водных биологических ресурсов и иных правил, регламентирующих осуществление промышленного, прибрежного и других видов рыболовства», за совершение административного правонарушения, предусмотренного ч.2 ст.8.37 КоАП РФ, дополнительное наказание в виде конфискации может быть назначено лишь в случае нарушения правил добычи (вылова) водных биологических ресурсов и в отношении тех орудий, которые использовались при незаконной добыче (вылове).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связи с вышеизложенным, а также в целях предупреждения совершения повторных правонарушений, мировой суд считает необходимым назначить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Вторушину </w:t>
      </w:r>
      <w:r>
        <w:rPr>
          <w:rStyle w:val="cat-UserDefinedgrp-28rplc-30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наказание в виде административного штрафа с конфискацией орудия добычи (вылова) биоресурсов.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 основании изложенного, руководствуясь ст. ст. 23.1, 29.5, 29.6, 29.10 Кодекса Российской Федерации об административных правонарушениях, мировой судья,</w:t>
      </w:r>
    </w:p>
    <w:p>
      <w:pPr>
        <w:spacing w:before="0" w:after="0"/>
        <w:ind w:firstLine="708"/>
        <w:jc w:val="both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ПОСТАНОВИЛ:</w:t>
      </w:r>
    </w:p>
    <w:p>
      <w:pPr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Признать Вторушина </w:t>
      </w:r>
      <w:r>
        <w:rPr>
          <w:rStyle w:val="cat-UserDefinedgrp-26rplc-32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виновным в совершении административного правонарушения, предусмотренного ч.2 ст.8.37 Кодекса Российской Федерации об административных правонарушениях и назначить ему наказание в виде административного штрафа в размере </w:t>
      </w:r>
      <w:r>
        <w:rPr>
          <w:rStyle w:val="cat-Sumgrp-19rplc-33"/>
          <w:rFonts w:ascii="Times New Roman" w:eastAsia="Times New Roman" w:hAnsi="Times New Roman" w:cs="Times New Roman"/>
          <w:sz w:val="26"/>
          <w:szCs w:val="26"/>
        </w:rPr>
        <w:t>сумма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 конфискацией орудия добычи (вылова) водных биологических ресурсов.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Орудие лова –</w:t>
      </w:r>
      <w:r>
        <w:rPr>
          <w:rFonts w:ascii="Times New Roman" w:eastAsia="Times New Roman" w:hAnsi="Times New Roman" w:cs="Times New Roman"/>
          <w:sz w:val="26"/>
          <w:szCs w:val="26"/>
        </w:rPr>
        <w:t>сеть уничтожить.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Уничтожение конфискованного орудия совершения административного правонарушения и водные биологические ресурсы, поручить Межрегиональному территориальному управлению </w:t>
      </w:r>
      <w:r>
        <w:rPr>
          <w:rFonts w:ascii="Times New Roman" w:eastAsia="Times New Roman" w:hAnsi="Times New Roman" w:cs="Times New Roman"/>
          <w:sz w:val="26"/>
          <w:szCs w:val="26"/>
        </w:rPr>
        <w:t>Росимущества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</w:t>
      </w:r>
      <w:r>
        <w:rPr>
          <w:rStyle w:val="cat-Addressgrp-5rplc-34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Style w:val="cat-Addressgrp-4rplc-35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может быть обжаловано в Ханты-Мансийский </w:t>
      </w:r>
      <w:r>
        <w:rPr>
          <w:rFonts w:ascii="Times New Roman" w:eastAsia="Times New Roman" w:hAnsi="Times New Roman" w:cs="Times New Roman"/>
          <w:sz w:val="26"/>
          <w:szCs w:val="26"/>
        </w:rPr>
        <w:t>районный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суд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через мирового судью в течение 10 дней со дня получения копии постановления.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4" w:anchor="sub_315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статьей 31.5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Разъяснить лицу, привлекаемому к административной ответственности, что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sub_32201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части 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ст.32.2 КоАП РФ, судья, орган, должностное лицо, вынесшие постановление, направляют в течение трех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Административный штраф подлежит уплате на расчетный счет: 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Получатель: УФК по </w:t>
      </w:r>
      <w:r>
        <w:rPr>
          <w:rStyle w:val="cat-Addressgrp-6rplc-36"/>
          <w:rFonts w:ascii="Times New Roman" w:eastAsia="Times New Roman" w:hAnsi="Times New Roman" w:cs="Times New Roman"/>
          <w:sz w:val="26"/>
          <w:szCs w:val="26"/>
        </w:rPr>
        <w:t>адрес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(Департамент административного обеспечения </w:t>
      </w:r>
      <w:r>
        <w:rPr>
          <w:rStyle w:val="cat-Addressgrp-1rplc-37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>)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Счет (ЕКС): </w:t>
      </w:r>
      <w:r>
        <w:rPr>
          <w:rStyle w:val="cat-UserDefinedgrp-29rplc-38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Номер счета получателя: </w:t>
      </w:r>
      <w:r>
        <w:rPr>
          <w:rStyle w:val="cat-UserDefinedgrp-30rplc-39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Банк: РКЦ </w:t>
      </w:r>
      <w:r>
        <w:rPr>
          <w:rStyle w:val="cat-Addressgrp-0rplc-40"/>
          <w:rFonts w:ascii="Times New Roman" w:eastAsia="Times New Roman" w:hAnsi="Times New Roman" w:cs="Times New Roman"/>
          <w:sz w:val="26"/>
          <w:szCs w:val="26"/>
        </w:rPr>
        <w:t>адрес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Style w:val="cat-UserDefinedgrp-31rplc-41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</w:t>
      </w:r>
      <w:r>
        <w:rPr>
          <w:rStyle w:val="cat-FIOgrp-17rplc-42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</w:t>
      </w:r>
      <w:r>
        <w:rPr>
          <w:rStyle w:val="cat-FIOgrp-17rplc-43"/>
          <w:rFonts w:ascii="Times New Roman" w:eastAsia="Times New Roman" w:hAnsi="Times New Roman" w:cs="Times New Roman"/>
          <w:sz w:val="26"/>
          <w:szCs w:val="26"/>
        </w:rPr>
        <w:t>фио</w:t>
      </w: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rPr>
          <w:sz w:val="26"/>
          <w:szCs w:val="26"/>
        </w:rPr>
      </w:pPr>
    </w:p>
    <w:p>
      <w:pPr>
        <w:spacing w:before="0" w:after="0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7rplc-1">
    <w:name w:val="cat-Date grp-7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13rplc-3">
    <w:name w:val="cat-FIO grp-13 rplc-3"/>
    <w:basedOn w:val="DefaultParagraphFont"/>
  </w:style>
  <w:style w:type="character" w:customStyle="1" w:styleId="cat-UserDefinedgrp-26rplc-5">
    <w:name w:val="cat-UserDefined grp-26 rplc-5"/>
    <w:basedOn w:val="DefaultParagraphFont"/>
  </w:style>
  <w:style w:type="character" w:customStyle="1" w:styleId="cat-ExternalSystemDefinedgrp-23rplc-6">
    <w:name w:val="cat-ExternalSystemDefined grp-23 rplc-6"/>
    <w:basedOn w:val="DefaultParagraphFont"/>
  </w:style>
  <w:style w:type="character" w:customStyle="1" w:styleId="cat-PassportDatagrp-20rplc-7">
    <w:name w:val="cat-PassportData grp-20 rplc-7"/>
    <w:basedOn w:val="DefaultParagraphFont"/>
  </w:style>
  <w:style w:type="character" w:customStyle="1" w:styleId="cat-Addressgrp-2rplc-8">
    <w:name w:val="cat-Address grp-2 rplc-8"/>
    <w:basedOn w:val="DefaultParagraphFont"/>
  </w:style>
  <w:style w:type="character" w:customStyle="1" w:styleId="cat-PassportDatagrp-21rplc-9">
    <w:name w:val="cat-PassportData grp-21 rplc-9"/>
    <w:basedOn w:val="DefaultParagraphFont"/>
  </w:style>
  <w:style w:type="character" w:customStyle="1" w:styleId="cat-ExternalSystemDefinedgrp-25rplc-10">
    <w:name w:val="cat-ExternalSystemDefined grp-25 rplc-10"/>
    <w:basedOn w:val="DefaultParagraphFont"/>
  </w:style>
  <w:style w:type="character" w:customStyle="1" w:styleId="cat-ExternalSystemDefinedgrp-24rplc-11">
    <w:name w:val="cat-ExternalSystemDefined grp-24 rplc-11"/>
    <w:basedOn w:val="DefaultParagraphFont"/>
  </w:style>
  <w:style w:type="character" w:customStyle="1" w:styleId="cat-Dategrp-8rplc-12">
    <w:name w:val="cat-Date grp-8 rplc-12"/>
    <w:basedOn w:val="DefaultParagraphFont"/>
  </w:style>
  <w:style w:type="character" w:customStyle="1" w:styleId="cat-Timegrp-22rplc-13">
    <w:name w:val="cat-Time grp-22 rplc-13"/>
    <w:basedOn w:val="DefaultParagraphFont"/>
  </w:style>
  <w:style w:type="character" w:customStyle="1" w:styleId="cat-Sumgrp-18rplc-14">
    <w:name w:val="cat-Sum grp-18 rplc-14"/>
    <w:basedOn w:val="DefaultParagraphFont"/>
  </w:style>
  <w:style w:type="character" w:customStyle="1" w:styleId="cat-Addressgrp-3rplc-15">
    <w:name w:val="cat-Address grp-3 rplc-15"/>
    <w:basedOn w:val="DefaultParagraphFont"/>
  </w:style>
  <w:style w:type="character" w:customStyle="1" w:styleId="cat-UserDefinedgrp-27rplc-17">
    <w:name w:val="cat-UserDefined grp-27 rplc-17"/>
    <w:basedOn w:val="DefaultParagraphFont"/>
  </w:style>
  <w:style w:type="character" w:customStyle="1" w:styleId="cat-UserDefinedgrp-28rplc-19">
    <w:name w:val="cat-UserDefined grp-28 rplc-19"/>
    <w:basedOn w:val="DefaultParagraphFont"/>
  </w:style>
  <w:style w:type="character" w:customStyle="1" w:styleId="cat-Dategrp-9rplc-20">
    <w:name w:val="cat-Date grp-9 rplc-20"/>
    <w:basedOn w:val="DefaultParagraphFont"/>
  </w:style>
  <w:style w:type="character" w:customStyle="1" w:styleId="cat-UserDefinedgrp-28rplc-22">
    <w:name w:val="cat-UserDefined grp-28 rplc-22"/>
    <w:basedOn w:val="DefaultParagraphFont"/>
  </w:style>
  <w:style w:type="character" w:customStyle="1" w:styleId="cat-Dategrp-10rplc-23">
    <w:name w:val="cat-Date grp-10 rplc-23"/>
    <w:basedOn w:val="DefaultParagraphFont"/>
  </w:style>
  <w:style w:type="character" w:customStyle="1" w:styleId="cat-Dategrp-11rplc-24">
    <w:name w:val="cat-Date grp-11 rplc-24"/>
    <w:basedOn w:val="DefaultParagraphFont"/>
  </w:style>
  <w:style w:type="character" w:customStyle="1" w:styleId="cat-UserDefinedgrp-27rplc-26">
    <w:name w:val="cat-UserDefined grp-27 rplc-26"/>
    <w:basedOn w:val="DefaultParagraphFont"/>
  </w:style>
  <w:style w:type="character" w:customStyle="1" w:styleId="cat-FIOgrp-16rplc-27">
    <w:name w:val="cat-FIO grp-16 rplc-27"/>
    <w:basedOn w:val="DefaultParagraphFont"/>
  </w:style>
  <w:style w:type="character" w:customStyle="1" w:styleId="cat-Dategrp-12rplc-28">
    <w:name w:val="cat-Date grp-12 rplc-28"/>
    <w:basedOn w:val="DefaultParagraphFont"/>
  </w:style>
  <w:style w:type="character" w:customStyle="1" w:styleId="cat-UserDefinedgrp-28rplc-30">
    <w:name w:val="cat-UserDefined grp-28 rplc-30"/>
    <w:basedOn w:val="DefaultParagraphFont"/>
  </w:style>
  <w:style w:type="character" w:customStyle="1" w:styleId="cat-UserDefinedgrp-26rplc-32">
    <w:name w:val="cat-UserDefined grp-26 rplc-32"/>
    <w:basedOn w:val="DefaultParagraphFont"/>
  </w:style>
  <w:style w:type="character" w:customStyle="1" w:styleId="cat-Sumgrp-19rplc-33">
    <w:name w:val="cat-Sum grp-19 rplc-33"/>
    <w:basedOn w:val="DefaultParagraphFont"/>
  </w:style>
  <w:style w:type="character" w:customStyle="1" w:styleId="cat-Addressgrp-5rplc-34">
    <w:name w:val="cat-Address grp-5 rplc-34"/>
    <w:basedOn w:val="DefaultParagraphFont"/>
  </w:style>
  <w:style w:type="character" w:customStyle="1" w:styleId="cat-Addressgrp-4rplc-35">
    <w:name w:val="cat-Address grp-4 rplc-35"/>
    <w:basedOn w:val="DefaultParagraphFont"/>
  </w:style>
  <w:style w:type="character" w:customStyle="1" w:styleId="cat-Addressgrp-6rplc-36">
    <w:name w:val="cat-Address grp-6 rplc-36"/>
    <w:basedOn w:val="DefaultParagraphFont"/>
  </w:style>
  <w:style w:type="character" w:customStyle="1" w:styleId="cat-Addressgrp-1rplc-37">
    <w:name w:val="cat-Address grp-1 rplc-37"/>
    <w:basedOn w:val="DefaultParagraphFont"/>
  </w:style>
  <w:style w:type="character" w:customStyle="1" w:styleId="cat-UserDefinedgrp-29rplc-38">
    <w:name w:val="cat-UserDefined grp-29 rplc-38"/>
    <w:basedOn w:val="DefaultParagraphFont"/>
  </w:style>
  <w:style w:type="character" w:customStyle="1" w:styleId="cat-UserDefinedgrp-30rplc-39">
    <w:name w:val="cat-UserDefined grp-30 rplc-39"/>
    <w:basedOn w:val="DefaultParagraphFont"/>
  </w:style>
  <w:style w:type="character" w:customStyle="1" w:styleId="cat-Addressgrp-0rplc-40">
    <w:name w:val="cat-Address grp-0 rplc-40"/>
    <w:basedOn w:val="DefaultParagraphFont"/>
  </w:style>
  <w:style w:type="character" w:customStyle="1" w:styleId="cat-UserDefinedgrp-31rplc-41">
    <w:name w:val="cat-UserDefined grp-31 rplc-41"/>
    <w:basedOn w:val="DefaultParagraphFont"/>
  </w:style>
  <w:style w:type="character" w:customStyle="1" w:styleId="cat-FIOgrp-17rplc-42">
    <w:name w:val="cat-FIO grp-17 rplc-42"/>
    <w:basedOn w:val="DefaultParagraphFont"/>
  </w:style>
  <w:style w:type="character" w:customStyle="1" w:styleId="cat-FIOgrp-17rplc-43">
    <w:name w:val="cat-FIO grp-17 rplc-4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\\192.168.50.125\justice\judge_3\judge_3\&#1040;&#1044;&#1052;&#1048;&#1053;&#1048;&#1057;&#1058;&#1056;&#1040;&#1058;&#1048;&#1042;&#1050;&#1040;\23.08.2013\4788%20&#1074;&#1077;&#1085;&#1075;&#1086;%2020.25.doc" TargetMode="External" /><Relationship Id="rId5" Type="http://schemas.openxmlformats.org/officeDocument/2006/relationships/hyperlink" Target="garantF1://12056199.3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